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AD" w:rsidRDefault="003B0781" w:rsidP="008242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8242AD" w:rsidRDefault="003B0781" w:rsidP="008242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 xml:space="preserve">к Прогнозу базовых </w:t>
      </w:r>
      <w:proofErr w:type="spellStart"/>
      <w:r w:rsidRPr="00CC4EA2">
        <w:rPr>
          <w:rFonts w:ascii="Times New Roman" w:hAnsi="Times New Roman" w:cs="Times New Roman"/>
          <w:b/>
          <w:sz w:val="28"/>
          <w:szCs w:val="28"/>
        </w:rPr>
        <w:t>бюджетообразующих</w:t>
      </w:r>
      <w:proofErr w:type="spellEnd"/>
      <w:r w:rsidRPr="00CC4EA2">
        <w:rPr>
          <w:rFonts w:ascii="Times New Roman" w:hAnsi="Times New Roman" w:cs="Times New Roman"/>
          <w:b/>
          <w:sz w:val="28"/>
          <w:szCs w:val="28"/>
        </w:rPr>
        <w:t xml:space="preserve"> показателей </w:t>
      </w:r>
    </w:p>
    <w:p w:rsidR="008242AD" w:rsidRDefault="003B0781" w:rsidP="008242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развития МО Пригородный район </w:t>
      </w:r>
    </w:p>
    <w:p w:rsidR="00FB08EB" w:rsidRDefault="003B0781" w:rsidP="008242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РСО-Алания на среднесрочный период 2019-2022 годов.</w:t>
      </w:r>
    </w:p>
    <w:p w:rsidR="008242AD" w:rsidRPr="00CC4EA2" w:rsidRDefault="008242AD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2AD" w:rsidRDefault="003B0781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МО Пригородный район на среднесрочный период 2019 год и на период до 2022 года (далее среднесрочный прогноз</w:t>
      </w:r>
      <w:r w:rsidR="006510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относится к документам стратегического планирования в МО Пригородный район и определяет направление и ожидаемые результаты  социально-экономического развития района в среднесрочный период.</w:t>
      </w:r>
    </w:p>
    <w:p w:rsidR="003B0781" w:rsidRDefault="003B0781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Среднесрочный прогноз подготовлен в соответствии с Федеральным законом от 28 июня 2014г. №172-ФЗ «О стратегическом планировании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Законом Республики Северная Осетия-А</w:t>
      </w:r>
      <w:r w:rsidR="00D8284C">
        <w:rPr>
          <w:rFonts w:ascii="Times New Roman" w:hAnsi="Times New Roman" w:cs="Times New Roman"/>
          <w:sz w:val="28"/>
          <w:szCs w:val="28"/>
        </w:rPr>
        <w:t>лания от 16 мая 2017г. №28-РЗ «</w:t>
      </w:r>
      <w:r>
        <w:rPr>
          <w:rFonts w:ascii="Times New Roman" w:hAnsi="Times New Roman" w:cs="Times New Roman"/>
          <w:sz w:val="28"/>
          <w:szCs w:val="28"/>
        </w:rPr>
        <w:t>О стратегическом планировании в Республике Северная Осетия-Алания</w:t>
      </w:r>
      <w:r w:rsidR="006510C8">
        <w:rPr>
          <w:rFonts w:ascii="Times New Roman" w:hAnsi="Times New Roman" w:cs="Times New Roman"/>
          <w:sz w:val="28"/>
          <w:szCs w:val="28"/>
        </w:rPr>
        <w:t>, Постановлением Администрации местного самоуправления муниципального образования Пригородны</w:t>
      </w:r>
      <w:r w:rsidR="00D8284C">
        <w:rPr>
          <w:rFonts w:ascii="Times New Roman" w:hAnsi="Times New Roman" w:cs="Times New Roman"/>
          <w:sz w:val="28"/>
          <w:szCs w:val="28"/>
        </w:rPr>
        <w:t>й район от 09.10.2017г. № 714 «</w:t>
      </w:r>
      <w:r w:rsidR="006510C8">
        <w:rPr>
          <w:rFonts w:ascii="Times New Roman" w:hAnsi="Times New Roman" w:cs="Times New Roman"/>
          <w:sz w:val="28"/>
          <w:szCs w:val="28"/>
        </w:rPr>
        <w:t>Об утверждении Порядка разработки, корректировки, осуществления мониторинга и контроля реализации Прогноза социально-экономического развития МО Пригородный район РСО</w:t>
      </w:r>
      <w:r w:rsidR="00D8284C">
        <w:rPr>
          <w:rFonts w:ascii="Times New Roman" w:hAnsi="Times New Roman" w:cs="Times New Roman"/>
          <w:sz w:val="28"/>
          <w:szCs w:val="28"/>
        </w:rPr>
        <w:t>-Алания на среднесрочный период</w:t>
      </w:r>
      <w:r w:rsidR="006510C8">
        <w:rPr>
          <w:rFonts w:ascii="Times New Roman" w:hAnsi="Times New Roman" w:cs="Times New Roman"/>
          <w:sz w:val="28"/>
          <w:szCs w:val="28"/>
        </w:rPr>
        <w:t>»</w:t>
      </w:r>
      <w:r w:rsidR="00D8284C">
        <w:rPr>
          <w:rFonts w:ascii="Times New Roman" w:hAnsi="Times New Roman" w:cs="Times New Roman"/>
          <w:sz w:val="28"/>
          <w:szCs w:val="28"/>
        </w:rPr>
        <w:t>.</w:t>
      </w:r>
    </w:p>
    <w:p w:rsidR="006510C8" w:rsidRDefault="006510C8" w:rsidP="00D8284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базовых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МО Пригородный район на среднесрочный период 2019-2022 годов разра</w:t>
      </w:r>
      <w:r w:rsidR="00D8284C">
        <w:rPr>
          <w:rFonts w:ascii="Times New Roman" w:hAnsi="Times New Roman" w:cs="Times New Roman"/>
          <w:sz w:val="28"/>
          <w:szCs w:val="28"/>
        </w:rPr>
        <w:t xml:space="preserve">ботан в составе двух основных </w:t>
      </w:r>
      <w:r>
        <w:rPr>
          <w:rFonts w:ascii="Times New Roman" w:hAnsi="Times New Roman" w:cs="Times New Roman"/>
          <w:sz w:val="28"/>
          <w:szCs w:val="28"/>
        </w:rPr>
        <w:t>вариантов: «консервативный» и «благоприятный».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Консервативный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>» рекомендован для разработки параметров консолидированного бюджета муниципального образования. «Благоприятный» вариант ориентирует на достижение целевых показателей социально-экономического развития и решении задач стратегического планирования.</w:t>
      </w:r>
    </w:p>
    <w:p w:rsidR="006510C8" w:rsidRDefault="006510C8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прогноза </w:t>
      </w:r>
      <w:r w:rsidR="00066959">
        <w:rPr>
          <w:rFonts w:ascii="Times New Roman" w:hAnsi="Times New Roman" w:cs="Times New Roman"/>
          <w:sz w:val="28"/>
          <w:szCs w:val="28"/>
        </w:rPr>
        <w:t>социально-экономического развития  муниципального образования Пригородный район является улучшение демографической ситуации, повышение уровня и качества жизни населения, обеспечение устойчивого экономического развития района.</w:t>
      </w:r>
    </w:p>
    <w:p w:rsidR="000E321F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прогноза необходимо решить следующие задачи:</w:t>
      </w:r>
    </w:p>
    <w:p w:rsidR="000E321F" w:rsidRDefault="004E766E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66959">
        <w:rPr>
          <w:rFonts w:ascii="Times New Roman" w:hAnsi="Times New Roman" w:cs="Times New Roman"/>
          <w:sz w:val="28"/>
          <w:szCs w:val="28"/>
        </w:rPr>
        <w:t>снизить темпы естественной убыли населения, стабилизировать численность района;</w:t>
      </w: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-обеспечить рост доходной части населения;</w:t>
      </w:r>
    </w:p>
    <w:p w:rsidR="00066959" w:rsidRDefault="00066959" w:rsidP="000E321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-достичь высоких темпов устойчивого роста социально-экономических показателей в производственных сферах экономики района.</w:t>
      </w: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2185" w:rsidRDefault="00D92185" w:rsidP="0002150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066959" w:rsidRPr="00D92185">
        <w:rPr>
          <w:rFonts w:ascii="Times New Roman" w:hAnsi="Times New Roman" w:cs="Times New Roman"/>
          <w:b/>
          <w:sz w:val="28"/>
          <w:szCs w:val="28"/>
        </w:rPr>
        <w:t>Индекс потребительских цен</w:t>
      </w:r>
      <w:r w:rsidR="00CC4EA2" w:rsidRPr="00D92185">
        <w:rPr>
          <w:rFonts w:ascii="Times New Roman" w:hAnsi="Times New Roman" w:cs="Times New Roman"/>
          <w:b/>
          <w:sz w:val="28"/>
          <w:szCs w:val="28"/>
        </w:rPr>
        <w:t>.</w:t>
      </w:r>
    </w:p>
    <w:p w:rsidR="00021506" w:rsidRDefault="00853E7D" w:rsidP="00853E7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21506" w:rsidRPr="00021506">
        <w:rPr>
          <w:rFonts w:ascii="Times New Roman" w:hAnsi="Times New Roman" w:cs="Times New Roman"/>
          <w:sz w:val="28"/>
          <w:szCs w:val="28"/>
        </w:rPr>
        <w:t>Индекс потребительских цен</w:t>
      </w:r>
      <w:r w:rsidR="000215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1506">
        <w:rPr>
          <w:rFonts w:ascii="Times New Roman" w:hAnsi="Times New Roman" w:cs="Times New Roman"/>
          <w:sz w:val="28"/>
          <w:szCs w:val="28"/>
        </w:rPr>
        <w:t>на товары и услуги (далее ИПЦ) используется в качестве одного из важнейших показателей, характеризующих инфляционные процессы в стране, и может применяться в целях осуществления государственной финансовой и денежно-кредитной политики, анализа и прогноза ценовых процессов в экономике, изучение динамики социально-экономических явлений, пересмотра минимальных социальных гарантий населения.</w:t>
      </w:r>
    </w:p>
    <w:p w:rsidR="006E6E2D" w:rsidRPr="00021506" w:rsidRDefault="006E6E2D" w:rsidP="00853E7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потребительском рынке республики цены на товары и услуги в декабре 2018 года по отношению к декабрю 2017 года выросли на 3,4%, в том числе на продовольственные товары – на 3,5%, непродовольственные товары – на 3,8%, на услуги – на 2,7%.</w:t>
      </w:r>
    </w:p>
    <w:p w:rsidR="00D92185" w:rsidRDefault="00853E7D" w:rsidP="00853E7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53E7D">
        <w:rPr>
          <w:rFonts w:ascii="Times New Roman" w:hAnsi="Times New Roman" w:cs="Times New Roman"/>
          <w:sz w:val="28"/>
          <w:szCs w:val="28"/>
        </w:rPr>
        <w:t>Сводный</w:t>
      </w:r>
      <w:r>
        <w:rPr>
          <w:rFonts w:ascii="Times New Roman" w:hAnsi="Times New Roman" w:cs="Times New Roman"/>
          <w:sz w:val="28"/>
          <w:szCs w:val="28"/>
        </w:rPr>
        <w:t xml:space="preserve"> индекс потребительских цен в 2018 году сложился на уровне 103,4% к индексу в декабре 2017 года. В том числе, на продовольственные товары 103,5%, непродовольственные товары 103,8%, на платные услуги 102,7%.</w:t>
      </w:r>
    </w:p>
    <w:p w:rsidR="00853E7D" w:rsidRPr="00853E7D" w:rsidRDefault="00853E7D" w:rsidP="00853E7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предварительной оценке при благоприятном варианте индекс потребительских цен к 2022 году ожидается на уровне 104,0%. </w:t>
      </w:r>
    </w:p>
    <w:p w:rsidR="00D92185" w:rsidRDefault="00D92185" w:rsidP="00D9218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959" w:rsidRPr="00CC4EA2" w:rsidRDefault="00FA599F" w:rsidP="001715F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66959" w:rsidRPr="00CC4EA2">
        <w:rPr>
          <w:rFonts w:ascii="Times New Roman" w:hAnsi="Times New Roman" w:cs="Times New Roman"/>
          <w:b/>
          <w:sz w:val="28"/>
          <w:szCs w:val="28"/>
        </w:rPr>
        <w:t>Численность постоянного населения муниципального района (среднегодовая).</w:t>
      </w: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Pr="00066959" w:rsidRDefault="00066959" w:rsidP="008242AD">
      <w:pPr>
        <w:tabs>
          <w:tab w:val="right" w:pos="907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>По данным Северо-</w:t>
      </w:r>
      <w:proofErr w:type="spellStart"/>
      <w:r w:rsidRPr="00066959">
        <w:rPr>
          <w:rFonts w:ascii="Times New Roman" w:eastAsia="Times New Roman" w:hAnsi="Times New Roman" w:cs="Times New Roman"/>
          <w:sz w:val="28"/>
          <w:szCs w:val="28"/>
        </w:rPr>
        <w:t>Кавказстата</w:t>
      </w:r>
      <w:proofErr w:type="spellEnd"/>
      <w:r w:rsidRPr="00066959">
        <w:rPr>
          <w:rFonts w:ascii="Times New Roman" w:eastAsia="Times New Roman" w:hAnsi="Times New Roman" w:cs="Times New Roman"/>
          <w:sz w:val="28"/>
          <w:szCs w:val="28"/>
        </w:rPr>
        <w:t>, на 01.01.2019 г. среднегодовая численность постоянного населения МО Пригородный  район за 2018г. составила 102709 человек, что ниже  уровня 2017г. на 0,6%.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>Число родившихся в 2018 году составило 1068 человек  и уменьшилось к уровню 2017 года на 42 чел., или на 3,8%.Коэффициент рождаемости – 10,4.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 xml:space="preserve">Число  умерших уменьшилось незначительно и составило 872 чел., или </w:t>
      </w:r>
      <w:r w:rsidR="004D3918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bookmarkStart w:id="0" w:name="_GoBack"/>
      <w:bookmarkEnd w:id="0"/>
      <w:r w:rsidRPr="00066959">
        <w:rPr>
          <w:rFonts w:ascii="Times New Roman" w:eastAsia="Times New Roman" w:hAnsi="Times New Roman" w:cs="Times New Roman"/>
          <w:sz w:val="28"/>
          <w:szCs w:val="28"/>
        </w:rPr>
        <w:t xml:space="preserve">0,2 %меньше к уровню 2017 года. Коэффициент смертности – 8,5. 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>Естественный прирост населения составил 196 чел.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>Существенным фактором, влияющим    на демографическую ситуацию в районе, остается миграция.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>Сохраняется отрицательное сальдо миграции.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>Так, за отчётный период количество прибывших составило – 1553 чел., что меньше по сравнению с 2017г. на 74 чел., и количество выбывших увеличилось на 334 чел. и составило – 2596 чел.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>По оценке в 2019 году среднегодовая численность постоянного населения ожидается на уровне  102500 человек, т.е. на  0,2%  меньше.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 xml:space="preserve">По консервативному варианту прогноз демографических показателей на  2020 – 2022  годы </w:t>
      </w:r>
      <w:r w:rsidRPr="0006695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прогнозируется  уменьшение  </w:t>
      </w:r>
      <w:r w:rsidRPr="00066959">
        <w:rPr>
          <w:rFonts w:ascii="Times New Roman" w:eastAsia="Times New Roman" w:hAnsi="Times New Roman" w:cs="Times New Roman"/>
          <w:sz w:val="28"/>
          <w:szCs w:val="28"/>
        </w:rPr>
        <w:t xml:space="preserve">среднегодовой </w:t>
      </w:r>
      <w:r w:rsidRPr="0006695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численности населения в среднем на 456 чел., или на 0,4%.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t xml:space="preserve">По благоприятному варианту </w:t>
      </w:r>
      <w:r w:rsidRPr="00066959">
        <w:rPr>
          <w:rFonts w:ascii="Times New Roman" w:eastAsia="Times New Roman" w:hAnsi="Times New Roman" w:cs="Times New Roman"/>
          <w:bCs/>
          <w:sz w:val="28"/>
          <w:szCs w:val="28"/>
        </w:rPr>
        <w:t>увеличение численности  на 524 чел., или на 0,5%.</w:t>
      </w:r>
    </w:p>
    <w:p w:rsidR="00066959" w:rsidRPr="00066959" w:rsidRDefault="00066959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6959">
        <w:rPr>
          <w:rFonts w:ascii="Times New Roman" w:eastAsia="Times New Roman" w:hAnsi="Times New Roman" w:cs="Times New Roman"/>
          <w:sz w:val="28"/>
          <w:szCs w:val="28"/>
        </w:rPr>
        <w:lastRenderedPageBreak/>
        <w:t>Главной задачей в сфере демографии по-прежнему остается уменьшение остроты демографического кризиса, снижение темпов естественной убыли населения. На её решение должны быть направлены мероприятия по созданию благоприятных условий для повышения рождаемости, улучшению положения семей с детьми, сокращению уровня смертности, а также сохранению и укреплению здоровья населения, регулированию внутренней и внешней миграции.</w:t>
      </w: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959" w:rsidRDefault="00066959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7454" w:rsidRDefault="00FA599F" w:rsidP="001715F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66959" w:rsidRPr="00CC4EA2">
        <w:rPr>
          <w:rFonts w:ascii="Times New Roman" w:hAnsi="Times New Roman" w:cs="Times New Roman"/>
          <w:b/>
          <w:sz w:val="28"/>
          <w:szCs w:val="28"/>
        </w:rPr>
        <w:t xml:space="preserve">Численность </w:t>
      </w:r>
      <w:proofErr w:type="gramStart"/>
      <w:r w:rsidR="00066959" w:rsidRPr="00CC4EA2">
        <w:rPr>
          <w:rFonts w:ascii="Times New Roman" w:hAnsi="Times New Roman" w:cs="Times New Roman"/>
          <w:b/>
          <w:sz w:val="28"/>
          <w:szCs w:val="28"/>
        </w:rPr>
        <w:t>занятых</w:t>
      </w:r>
      <w:proofErr w:type="gramEnd"/>
      <w:r w:rsidR="00066959" w:rsidRPr="00CC4EA2">
        <w:rPr>
          <w:rFonts w:ascii="Times New Roman" w:hAnsi="Times New Roman" w:cs="Times New Roman"/>
          <w:b/>
          <w:sz w:val="28"/>
          <w:szCs w:val="28"/>
        </w:rPr>
        <w:t xml:space="preserve"> в экономике </w:t>
      </w:r>
    </w:p>
    <w:p w:rsidR="00066959" w:rsidRPr="00CC4EA2" w:rsidRDefault="00066959" w:rsidP="001715F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муниципального района, за год.</w:t>
      </w: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Численность занятых в экономике муниципального района по оценке в текущем периоде составила 12760 человек или 103,2% к уровню предыдущего года.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Исходя из менее благоприятной комбинации внешних и внутренних условий функционирования экономики и социальной сферы рост численности составит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среднесрочный период до 1155 чел. или 109% к оценке текущего года.</w:t>
      </w: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втором варианте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исходя из возможности сохранение позитивных тенденций развития внешних и внутренних условий и ориентира на дальнейшее улучшение социально-экономической ситуации, численность занятых в экономике муниципального района продолжит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увеличиваться в среднем на 0,3-0,7% ежегодно.</w:t>
      </w: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сохраняется положительная динамика на рынке труда.</w:t>
      </w: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среднемесячной начисленной заработной платы работников организаций (без субъектов малого предпринимательства) по оценке текущего года составил 28266 руб. или 105% к уровню предыдущего года. </w:t>
      </w: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консервативном варианте расчета прогноз социально-экономического развития предполагает ежегодное увеличение реальной заработной платы на 2-6%. При благоприятном варианте рост заработной платы к уровню 2019 года составит в 2020г. -107%, в 2021 г.-115,6%, в 2022 г. -127,1%.</w:t>
      </w: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9F" w:rsidRDefault="00FA599F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7454" w:rsidRDefault="00FA599F" w:rsidP="001715F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4. Среднесписочная числ</w:t>
      </w:r>
      <w:r w:rsidR="001715F1">
        <w:rPr>
          <w:rFonts w:ascii="Times New Roman" w:hAnsi="Times New Roman" w:cs="Times New Roman"/>
          <w:b/>
          <w:sz w:val="28"/>
          <w:szCs w:val="28"/>
        </w:rPr>
        <w:t xml:space="preserve">енность работников организаций </w:t>
      </w:r>
    </w:p>
    <w:p w:rsidR="00FA599F" w:rsidRPr="00CC4EA2" w:rsidRDefault="00FA599F" w:rsidP="001715F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без субъектов малого предпринимательства), за год.</w:t>
      </w:r>
    </w:p>
    <w:p w:rsidR="00E03DA4" w:rsidRDefault="00E03DA4" w:rsidP="008242AD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3DA4">
        <w:rPr>
          <w:rFonts w:ascii="Times New Roman" w:hAnsi="Times New Roman" w:cs="Times New Roman"/>
          <w:b w:val="0"/>
          <w:sz w:val="28"/>
          <w:szCs w:val="28"/>
        </w:rPr>
        <w:t>Среднесписочная численность работников организаций (без субъектов малого предпринимательства)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2018 г. составила 5,6 тыс. чел. или 98,2 % к предыдущему году.</w:t>
      </w:r>
    </w:p>
    <w:p w:rsidR="00E03DA4" w:rsidRDefault="00E03DA4" w:rsidP="008242AD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уменьшение данного показателя повлияло сокращение численности населения района, а также увеличение числа безработных граждан.</w:t>
      </w:r>
    </w:p>
    <w:p w:rsidR="00E03DA4" w:rsidRDefault="00E03DA4" w:rsidP="008242AD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Численность работников организаций по оценке 2019 г. составит 5,5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тыс. чел. или 98,2 % к предыдущему году.</w:t>
      </w:r>
    </w:p>
    <w:p w:rsidR="00E03DA4" w:rsidRDefault="00E03DA4" w:rsidP="008242AD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 благоприятном развитии социально-экономической ситуации в районе прогноз на 2020-2022 годы предполагает рост численности работников на 3,6% к уровню 2019 г. и составит в 2020 г. – 101,8 %, в 2021 г. – 103,6 %, в 2022 г. – 105,4 %.</w:t>
      </w:r>
    </w:p>
    <w:p w:rsidR="00E03DA4" w:rsidRDefault="00E03DA4" w:rsidP="008242AD">
      <w:pPr>
        <w:pStyle w:val="ConsPlusTitle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 менее благоприятных тенденциях развития на рынке труда и демографической ситуации прогноз на трехлетний период предполагает уменьшение данного показателя на 0,1 % к уровню 2019 г. и составит в 2020г. – 98,2 %, в 2021 г. – 96,4 %, в 2022 г. – 94,5%.</w:t>
      </w:r>
    </w:p>
    <w:p w:rsidR="00E03DA4" w:rsidRDefault="00E03DA4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3DA4" w:rsidRDefault="00E03DA4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3DA4" w:rsidRPr="00CC4EA2" w:rsidRDefault="00E03DA4" w:rsidP="001715F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5. Среднемесячная начисленная заработная плата работников организаций (без субъектов малого предпринимательства), за год.</w:t>
      </w:r>
      <w:r w:rsidRPr="00CC4EA2">
        <w:rPr>
          <w:rFonts w:ascii="Times New Roman" w:hAnsi="Times New Roman" w:cs="Times New Roman"/>
          <w:b/>
          <w:sz w:val="28"/>
          <w:szCs w:val="28"/>
        </w:rPr>
        <w:br/>
      </w:r>
    </w:p>
    <w:p w:rsidR="001715F1" w:rsidRDefault="00E03DA4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2018 году среднемесячная номинальная начисленная заработная плата работников составила:</w:t>
      </w:r>
    </w:p>
    <w:p w:rsidR="001715F1" w:rsidRDefault="00E03DA4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-работников ДОУ-16207т.р., что на 2459 руб. (на 17,9%) больше, чем в 2017 году;</w:t>
      </w:r>
    </w:p>
    <w:p w:rsidR="00FA599F" w:rsidRDefault="00E03DA4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-муниципальных образовательных учреждений – 21218т.р., что на 2458 руб. (13,6%);</w:t>
      </w:r>
    </w:p>
    <w:p w:rsidR="00E03DA4" w:rsidRDefault="00E03DA4" w:rsidP="001715F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-учителей муниципальных образовательных учреждений - 23602т.р., что на 2490 руб. (11,8%);</w:t>
      </w:r>
    </w:p>
    <w:p w:rsidR="00E03DA4" w:rsidRDefault="00E03DA4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-муниципальных учреждений культуры и искусств- 20203т.р., что на 4951 руб. (32,5%);</w:t>
      </w:r>
    </w:p>
    <w:p w:rsidR="00E03DA4" w:rsidRDefault="00E03DA4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-муниципальных учреждений физической культуры и спорта- 12016т.р., что на 2461 руб. (25,7%).</w:t>
      </w:r>
    </w:p>
    <w:p w:rsidR="00E03DA4" w:rsidRDefault="00CC4EA2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было обеспечено в порядке реализации указов Пре</w:t>
      </w:r>
      <w:r w:rsidR="001715F1">
        <w:rPr>
          <w:rFonts w:ascii="Times New Roman" w:hAnsi="Times New Roman" w:cs="Times New Roman"/>
          <w:sz w:val="28"/>
          <w:szCs w:val="28"/>
        </w:rPr>
        <w:t>зидента РФ от 7 мая №597 №599 «</w:t>
      </w:r>
      <w:r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 в муниципальном образовании Пригородный район</w:t>
      </w:r>
      <w:r w:rsidR="001715F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EA2" w:rsidRDefault="00CC4EA2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января текущего года произведена также индексация денежного содержания муниципальных служащих лиц, замещающих муниципальные должности и работников муниципальных органов, замещающих должности, не являющиеся должностями муниципальной гражданской службы на 4% фонда оплаты труда.</w:t>
      </w:r>
    </w:p>
    <w:p w:rsidR="00CC4EA2" w:rsidRDefault="00CC4EA2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EA2" w:rsidRDefault="00CC4EA2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оценке текущего года размер среднемесячной начисленной заработной платы работников организации (без субъектов малого предпринимательства) составит 28266 руб. или 105% к уровню предыдущего года. </w:t>
      </w:r>
    </w:p>
    <w:p w:rsidR="00CC4EA2" w:rsidRDefault="00CC4EA2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 консервативном варианте расчет</w:t>
      </w:r>
      <w:r w:rsidR="00E028D0">
        <w:rPr>
          <w:rFonts w:ascii="Times New Roman" w:hAnsi="Times New Roman" w:cs="Times New Roman"/>
          <w:sz w:val="28"/>
          <w:szCs w:val="28"/>
        </w:rPr>
        <w:t>а прогноза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предполагает ежегодное увеличение реальной заработной платы на 2-6%.</w:t>
      </w:r>
    </w:p>
    <w:p w:rsidR="008C67FC" w:rsidRDefault="00CC4EA2" w:rsidP="001F753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 благоприятном варианте рост заработной платы к уровню 2019 года составит: в 2020г. – 107%, 2021г. – 115,6%, 2022г. – 127,1%.</w:t>
      </w:r>
    </w:p>
    <w:p w:rsidR="00CC4EA2" w:rsidRDefault="00CC4EA2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EA2" w:rsidRDefault="00CC4EA2" w:rsidP="0032192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lastRenderedPageBreak/>
        <w:t>6. Уровень зарегистрированной безработицы (на конец года).</w:t>
      </w:r>
    </w:p>
    <w:p w:rsidR="00CC4EA2" w:rsidRPr="00CC4EA2" w:rsidRDefault="00CC4EA2" w:rsidP="008242A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>Уровень зарегистрированной безработицы в МО Пригородный район в 2018 году составил 2,5% от общей численности экономически активного населения, что выше данного показателя по сравнению с  2017 г. на 0,3%.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В  2018г. в Центр занятости населения по Пригородному району за содействием в поиске подходящей работы обратилось 1714 чел., что на 79 чел., или 4,6 %  больше,чем за 2017г.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Из числа обратившихся  официальный статус безработных получили 1379 чел.  Это   больше,  чем в 2017г. на 102 чел. или 7,4 %. 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В  2018 г. в Центр занятости поступили сведения о 1099  вакансиях  от 152 работодателей. Вакансии по рабочим профессиям  составляют 67 %, по специалистам – 33%. Среди рабочих  лидирует  спрос на дворников, сторожей. Среди служащих спрос на такие профессии, как  учителя, врачи, медсестры, слесари.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было трудоустроено 17 чел. на вакантные места. 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Проведено 6 ярмарок, в них приняло участие 71  чел., 13 работодателей.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В специальных программах  занятости приняли участие 1707 чел., в том числе: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-организация  проведения оплачиваемых работ – 46 чел.;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-организация временного трудоустройства безработных граждан,  испытывающих  трудности в поиске работы – 26 чел.;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-временное трудоустройство  несовершеннолетних  граждан в возрасте от 14 до 18 лет в свободное от учебы время – 138 чел.;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-получили услуги по  профориентации – 1190 чел.;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-по социальной адаптации – 145 чел.;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-по психологической  поддержке – 147 чел.;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- направлено на стажировку – 15 чел.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Назначено пособие по безработице за отчетный год 1379 безработным гражданам (минимальный размер – 850 руб.; максимальный – 4900 руб.).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Остается актуальной проблема несбалансированности рынка труда. При растущем спросе имеется дефицит предложения рабочей силы по профессиям, требующим среднее профессионального образования (электриков, трактористов, машинистов бульдозера, экскаватора, башенного крана и т. д.). 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Не все р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аботодатели  падают сведения о свободных рабочих местах. </w:t>
      </w:r>
      <w:proofErr w:type="gramStart"/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Самые распространенные причины, затрудняющие подбор подходящей работы – это низкий уровень заработной платы, несоответствие спроса  и предложения рабочей силы, трудоустройство молодых людей, впервые ищущих работу, крайне </w:t>
      </w:r>
      <w:r w:rsidRPr="00CC4EA2">
        <w:rPr>
          <w:rFonts w:ascii="Times New Roman" w:eastAsia="Calibri" w:hAnsi="Times New Roman" w:cs="Times New Roman"/>
          <w:bCs/>
          <w:sz w:val="28"/>
          <w:szCs w:val="28"/>
        </w:rPr>
        <w:t>актуальной</w:t>
      </w:r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 является проблема занятости и трудоустройства инвалидов ввиду того, что очень часто под абсолютно разными предлогами их не трудоустраивают. </w:t>
      </w:r>
      <w:proofErr w:type="gramEnd"/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>Служба занятости продолжит реализацию   программ занятости и выплату пособий по безработице и на период до 2022 года.</w:t>
      </w:r>
    </w:p>
    <w:p w:rsidR="00CC4EA2" w:rsidRPr="00CC4EA2" w:rsidRDefault="00CC4EA2" w:rsidP="008242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lastRenderedPageBreak/>
        <w:t>По консервативному варианту в прогнозном периоде уровень безработицы вырастет  до 0,4%.</w:t>
      </w:r>
    </w:p>
    <w:p w:rsidR="00CC4EA2" w:rsidRDefault="00CC4EA2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>По благоприятному варианту уровень безработицы снизится   до 0,5 %.</w:t>
      </w: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1CD" w:rsidRDefault="009931CD" w:rsidP="0032192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31CD">
        <w:rPr>
          <w:rFonts w:ascii="Times New Roman" w:eastAsia="Times New Roman" w:hAnsi="Times New Roman" w:cs="Times New Roman"/>
          <w:b/>
          <w:sz w:val="28"/>
          <w:szCs w:val="28"/>
        </w:rPr>
        <w:t>7. Ввод в эксплуатацию жилых домов (общая площадь).</w:t>
      </w: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в эксплуатацию жилых домов на территории района обеспечивается за счёт строительства и реконструкции индивидуальных жилых домов. </w:t>
      </w: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многоквартирных жилых домов на территории района не ведется.</w:t>
      </w: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2018 году введено в эксплуатацию 221 жилых домов, площадью 14379 кв. метра, что на 7% ниже уровня 2017 года.</w:t>
      </w: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Это понижение связано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неучётом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жилищного строительства, т.к. ввод в эксплуатацию таких объектов в соответствии с градостроительным кодексом РФ не требовалось.</w:t>
      </w:r>
    </w:p>
    <w:p w:rsidR="009931CD" w:rsidRDefault="009931CD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Прогноз на 2019-2022 годы предполагает стабильный прирост каждый год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консервативному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благоприятному вариантом, т.к. для застройщика требуется получение уведомления об окончании строительства или реконструкции объекта жилищного строительства или садового дома в соответ</w:t>
      </w:r>
      <w:r w:rsidR="00CD2F71">
        <w:rPr>
          <w:rFonts w:ascii="Times New Roman" w:eastAsia="Times New Roman" w:hAnsi="Times New Roman" w:cs="Times New Roman"/>
          <w:sz w:val="28"/>
          <w:szCs w:val="28"/>
        </w:rPr>
        <w:t>ствии со ст. 55.1 Гражданского К</w:t>
      </w:r>
      <w:r>
        <w:rPr>
          <w:rFonts w:ascii="Times New Roman" w:eastAsia="Times New Roman" w:hAnsi="Times New Roman" w:cs="Times New Roman"/>
          <w:sz w:val="28"/>
          <w:szCs w:val="28"/>
        </w:rPr>
        <w:t>одекса Российской федерации.</w:t>
      </w: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Default="00963F5A" w:rsidP="00853E7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3E7D" w:rsidRDefault="00853E7D" w:rsidP="00853E7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5A" w:rsidRPr="00B84D78" w:rsidRDefault="00963F5A" w:rsidP="00853E7D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963F5A" w:rsidRPr="00B84D78" w:rsidRDefault="00963F5A" w:rsidP="00963F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3F5A" w:rsidRPr="00B84D78" w:rsidRDefault="00963F5A" w:rsidP="00963F5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63F5A" w:rsidRPr="00B84D78" w:rsidRDefault="00963F5A" w:rsidP="00963F5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63F5A" w:rsidRPr="00B84D78" w:rsidRDefault="00963F5A" w:rsidP="00963F5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63F5A" w:rsidRPr="00CD2F71" w:rsidRDefault="00963F5A" w:rsidP="008242A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63F5A" w:rsidRPr="00CD2F71" w:rsidSect="00853E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87168"/>
    <w:multiLevelType w:val="hybridMultilevel"/>
    <w:tmpl w:val="13F4C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A0535"/>
    <w:multiLevelType w:val="hybridMultilevel"/>
    <w:tmpl w:val="F446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0781"/>
    <w:rsid w:val="00021506"/>
    <w:rsid w:val="00066959"/>
    <w:rsid w:val="000E321F"/>
    <w:rsid w:val="001715F1"/>
    <w:rsid w:val="001824EC"/>
    <w:rsid w:val="00187454"/>
    <w:rsid w:val="001F7531"/>
    <w:rsid w:val="00321924"/>
    <w:rsid w:val="003B0781"/>
    <w:rsid w:val="004D3918"/>
    <w:rsid w:val="004E766E"/>
    <w:rsid w:val="006510C8"/>
    <w:rsid w:val="006E6E2D"/>
    <w:rsid w:val="007C7EE3"/>
    <w:rsid w:val="008242AD"/>
    <w:rsid w:val="00853E7D"/>
    <w:rsid w:val="008C67FC"/>
    <w:rsid w:val="009511DE"/>
    <w:rsid w:val="00963F5A"/>
    <w:rsid w:val="009931CD"/>
    <w:rsid w:val="00B13B92"/>
    <w:rsid w:val="00BF5747"/>
    <w:rsid w:val="00CC4EA2"/>
    <w:rsid w:val="00CD2F71"/>
    <w:rsid w:val="00D8284C"/>
    <w:rsid w:val="00D92185"/>
    <w:rsid w:val="00D92B21"/>
    <w:rsid w:val="00E028D0"/>
    <w:rsid w:val="00E03DA4"/>
    <w:rsid w:val="00E25F19"/>
    <w:rsid w:val="00FA599F"/>
    <w:rsid w:val="00FB0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99F"/>
    <w:pPr>
      <w:ind w:left="720"/>
      <w:contextualSpacing/>
    </w:pPr>
  </w:style>
  <w:style w:type="paragraph" w:customStyle="1" w:styleId="ConsPlusTitle">
    <w:name w:val="ConsPlusTitle"/>
    <w:uiPriority w:val="99"/>
    <w:rsid w:val="00E03D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63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33D4-8F61-401A-AC0F-DFADE809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ella-pc</cp:lastModifiedBy>
  <cp:revision>23</cp:revision>
  <cp:lastPrinted>2019-06-11T07:36:00Z</cp:lastPrinted>
  <dcterms:created xsi:type="dcterms:W3CDTF">2019-05-30T12:31:00Z</dcterms:created>
  <dcterms:modified xsi:type="dcterms:W3CDTF">2019-06-21T06:50:00Z</dcterms:modified>
</cp:coreProperties>
</file>